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51D5C"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14343482"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31CF09C9"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6EB74473"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07C9E738"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67B7F122"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16AAA27C"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r w:rsidRPr="007A2A2E">
        <w:rPr>
          <w:rFonts w:ascii="Times New Roman" w:hAnsi="Times New Roman" w:cs="Times New Roman"/>
          <w:color w:val="000000" w:themeColor="text1"/>
          <w:sz w:val="24"/>
          <w:szCs w:val="24"/>
        </w:rPr>
        <w:t xml:space="preserve">Mental </w:t>
      </w:r>
      <w:r w:rsidR="00284BE7" w:rsidRPr="007A2A2E">
        <w:rPr>
          <w:rFonts w:ascii="Times New Roman" w:hAnsi="Times New Roman" w:cs="Times New Roman"/>
          <w:color w:val="000000" w:themeColor="text1"/>
          <w:sz w:val="24"/>
          <w:szCs w:val="24"/>
        </w:rPr>
        <w:t>Health policy analysis</w:t>
      </w:r>
    </w:p>
    <w:p w14:paraId="2B282F90"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r w:rsidRPr="007A2A2E">
        <w:rPr>
          <w:rFonts w:ascii="Times New Roman" w:hAnsi="Times New Roman" w:cs="Times New Roman"/>
          <w:color w:val="000000" w:themeColor="text1"/>
          <w:sz w:val="24"/>
          <w:szCs w:val="24"/>
        </w:rPr>
        <w:t>Student name</w:t>
      </w:r>
    </w:p>
    <w:p w14:paraId="3FB569D9"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r w:rsidRPr="007A2A2E">
        <w:rPr>
          <w:rFonts w:ascii="Times New Roman" w:hAnsi="Times New Roman" w:cs="Times New Roman"/>
          <w:color w:val="000000" w:themeColor="text1"/>
          <w:sz w:val="24"/>
          <w:szCs w:val="24"/>
        </w:rPr>
        <w:t>Institution affiliation</w:t>
      </w:r>
    </w:p>
    <w:p w14:paraId="2DAA8F10" w14:textId="77777777" w:rsidR="00D86540" w:rsidRPr="007A2A2E" w:rsidRDefault="0090753D" w:rsidP="004A2385">
      <w:pPr>
        <w:spacing w:line="480" w:lineRule="auto"/>
        <w:jc w:val="center"/>
        <w:rPr>
          <w:rFonts w:ascii="Times New Roman" w:hAnsi="Times New Roman" w:cs="Times New Roman"/>
          <w:color w:val="000000" w:themeColor="text1"/>
          <w:sz w:val="24"/>
          <w:szCs w:val="24"/>
        </w:rPr>
      </w:pPr>
      <w:r w:rsidRPr="007A2A2E">
        <w:rPr>
          <w:rFonts w:ascii="Times New Roman" w:hAnsi="Times New Roman" w:cs="Times New Roman"/>
          <w:color w:val="000000" w:themeColor="text1"/>
          <w:sz w:val="24"/>
          <w:szCs w:val="24"/>
        </w:rPr>
        <w:t>Date</w:t>
      </w:r>
    </w:p>
    <w:p w14:paraId="033F1B81" w14:textId="77777777" w:rsidR="0090753D" w:rsidRPr="007A2A2E" w:rsidRDefault="0090753D" w:rsidP="004A2385">
      <w:pPr>
        <w:spacing w:line="480" w:lineRule="auto"/>
        <w:jc w:val="center"/>
        <w:rPr>
          <w:rFonts w:ascii="Times New Roman" w:hAnsi="Times New Roman" w:cs="Times New Roman"/>
          <w:color w:val="000000" w:themeColor="text1"/>
          <w:sz w:val="24"/>
          <w:szCs w:val="24"/>
        </w:rPr>
      </w:pPr>
    </w:p>
    <w:p w14:paraId="270ECA4E"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7D73CCC7"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5E83F935"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07FC5D78"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779A77B1"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7BEEBCDB" w14:textId="77777777" w:rsidR="00D86540" w:rsidRPr="007A2A2E" w:rsidRDefault="00D86540" w:rsidP="004A2385">
      <w:pPr>
        <w:spacing w:line="480" w:lineRule="auto"/>
        <w:jc w:val="center"/>
        <w:rPr>
          <w:rFonts w:ascii="Times New Roman" w:hAnsi="Times New Roman" w:cs="Times New Roman"/>
          <w:color w:val="000000" w:themeColor="text1"/>
          <w:sz w:val="24"/>
          <w:szCs w:val="24"/>
        </w:rPr>
      </w:pPr>
    </w:p>
    <w:p w14:paraId="10D00BA2" w14:textId="77777777" w:rsidR="000E672D" w:rsidRPr="007A2A2E" w:rsidRDefault="000E672D" w:rsidP="004A2385">
      <w:pPr>
        <w:spacing w:line="480" w:lineRule="auto"/>
        <w:rPr>
          <w:rFonts w:ascii="Times New Roman" w:hAnsi="Times New Roman" w:cs="Times New Roman"/>
          <w:color w:val="000000" w:themeColor="text1"/>
          <w:sz w:val="24"/>
          <w:szCs w:val="24"/>
        </w:rPr>
      </w:pPr>
    </w:p>
    <w:p w14:paraId="6AC61E56" w14:textId="77777777" w:rsidR="00FB565C" w:rsidRDefault="00FB565C" w:rsidP="004A2385">
      <w:pPr>
        <w:spacing w:line="480" w:lineRule="auto"/>
        <w:jc w:val="center"/>
        <w:rPr>
          <w:rFonts w:ascii="Times New Roman" w:hAnsi="Times New Roman" w:cs="Times New Roman"/>
          <w:color w:val="000000" w:themeColor="text1"/>
          <w:sz w:val="24"/>
          <w:szCs w:val="24"/>
        </w:rPr>
      </w:pPr>
    </w:p>
    <w:p w14:paraId="185AF2E3" w14:textId="4D86B0B8" w:rsidR="00284BE7" w:rsidRPr="007A2A2E" w:rsidRDefault="00D86540" w:rsidP="004A2385">
      <w:pPr>
        <w:spacing w:line="480" w:lineRule="auto"/>
        <w:jc w:val="center"/>
        <w:rPr>
          <w:rFonts w:ascii="Times New Roman" w:hAnsi="Times New Roman" w:cs="Times New Roman"/>
          <w:b/>
          <w:color w:val="000000" w:themeColor="text1"/>
          <w:sz w:val="24"/>
          <w:szCs w:val="24"/>
        </w:rPr>
      </w:pPr>
      <w:r w:rsidRPr="007A2A2E">
        <w:rPr>
          <w:rFonts w:ascii="Times New Roman" w:hAnsi="Times New Roman" w:cs="Times New Roman"/>
          <w:color w:val="000000" w:themeColor="text1"/>
          <w:sz w:val="24"/>
          <w:szCs w:val="24"/>
        </w:rPr>
        <w:t xml:space="preserve"> Health policy analysis</w:t>
      </w:r>
      <w:r w:rsidR="00120279" w:rsidRPr="007A2A2E">
        <w:rPr>
          <w:rFonts w:ascii="Times New Roman" w:hAnsi="Times New Roman" w:cs="Times New Roman"/>
          <w:color w:val="000000" w:themeColor="text1"/>
          <w:sz w:val="24"/>
          <w:szCs w:val="24"/>
          <w:shd w:val="clear" w:color="auto" w:fill="FFFFFF"/>
        </w:rPr>
        <w:t>.</w:t>
      </w:r>
    </w:p>
    <w:p w14:paraId="3EE0149A" w14:textId="7084EE63" w:rsidR="003A0CFA" w:rsidRPr="004E44BB" w:rsidRDefault="005869D4" w:rsidP="004A2385">
      <w:pPr>
        <w:spacing w:line="480" w:lineRule="auto"/>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Article</w:t>
      </w:r>
      <w:r w:rsidR="00EA2E1A">
        <w:rPr>
          <w:rFonts w:ascii="Times New Roman" w:hAnsi="Times New Roman" w:cs="Times New Roman"/>
          <w:b/>
          <w:bCs/>
          <w:color w:val="000000" w:themeColor="text1"/>
          <w:sz w:val="24"/>
          <w:szCs w:val="24"/>
          <w:shd w:val="clear" w:color="auto" w:fill="FFFFFF"/>
        </w:rPr>
        <w:t xml:space="preserve">: </w:t>
      </w:r>
      <w:r w:rsidR="003A0CFA" w:rsidRPr="004E44BB">
        <w:rPr>
          <w:rFonts w:ascii="Times New Roman" w:hAnsi="Times New Roman" w:cs="Times New Roman"/>
          <w:b/>
          <w:bCs/>
          <w:color w:val="000000" w:themeColor="text1"/>
          <w:sz w:val="24"/>
          <w:szCs w:val="24"/>
          <w:shd w:val="clear" w:color="auto" w:fill="FFFFFF"/>
        </w:rPr>
        <w:t>Mendenhall, E., De Silva, M. J., Hanlon, C., Petersen, I., Shidhaye, R., Jordans, M., ...    &amp; Tomlinson, M. (2014). Acceptability and feasibility of using non-specialist health workers to deliver mental health care: stakeholder perceptions from the PRIME district sites in Ethiopia, India, Nepal, South Africa, and Uganda. </w:t>
      </w:r>
      <w:r w:rsidR="003A0CFA" w:rsidRPr="004E44BB">
        <w:rPr>
          <w:rFonts w:ascii="Times New Roman" w:hAnsi="Times New Roman" w:cs="Times New Roman"/>
          <w:b/>
          <w:bCs/>
          <w:i/>
          <w:iCs/>
          <w:color w:val="000000" w:themeColor="text1"/>
          <w:sz w:val="24"/>
          <w:szCs w:val="24"/>
          <w:shd w:val="clear" w:color="auto" w:fill="FFFFFF"/>
        </w:rPr>
        <w:t>Social science &amp; medicine</w:t>
      </w:r>
      <w:r w:rsidR="003A0CFA" w:rsidRPr="004E44BB">
        <w:rPr>
          <w:rFonts w:ascii="Times New Roman" w:hAnsi="Times New Roman" w:cs="Times New Roman"/>
          <w:b/>
          <w:bCs/>
          <w:color w:val="000000" w:themeColor="text1"/>
          <w:sz w:val="24"/>
          <w:szCs w:val="24"/>
          <w:shd w:val="clear" w:color="auto" w:fill="FFFFFF"/>
        </w:rPr>
        <w:t>, </w:t>
      </w:r>
      <w:r w:rsidR="003A0CFA" w:rsidRPr="004E44BB">
        <w:rPr>
          <w:rFonts w:ascii="Times New Roman" w:hAnsi="Times New Roman" w:cs="Times New Roman"/>
          <w:b/>
          <w:bCs/>
          <w:i/>
          <w:iCs/>
          <w:color w:val="000000" w:themeColor="text1"/>
          <w:sz w:val="24"/>
          <w:szCs w:val="24"/>
          <w:shd w:val="clear" w:color="auto" w:fill="FFFFFF"/>
        </w:rPr>
        <w:t>118</w:t>
      </w:r>
      <w:r w:rsidR="003A0CFA" w:rsidRPr="004E44BB">
        <w:rPr>
          <w:rFonts w:ascii="Times New Roman" w:hAnsi="Times New Roman" w:cs="Times New Roman"/>
          <w:b/>
          <w:bCs/>
          <w:color w:val="000000" w:themeColor="text1"/>
          <w:sz w:val="24"/>
          <w:szCs w:val="24"/>
          <w:shd w:val="clear" w:color="auto" w:fill="FFFFFF"/>
        </w:rPr>
        <w:t>, 33-42</w:t>
      </w:r>
    </w:p>
    <w:p w14:paraId="421BABD4" w14:textId="35832FE9" w:rsidR="006F2F34" w:rsidRPr="007A2A2E" w:rsidRDefault="006F2F34" w:rsidP="004A2385">
      <w:pPr>
        <w:spacing w:line="480" w:lineRule="auto"/>
        <w:rPr>
          <w:rFonts w:ascii="Times New Roman" w:hAnsi="Times New Roman" w:cs="Times New Roman"/>
          <w:b/>
          <w:color w:val="000000" w:themeColor="text1"/>
          <w:sz w:val="24"/>
          <w:szCs w:val="24"/>
        </w:rPr>
      </w:pPr>
    </w:p>
    <w:p w14:paraId="7D2C2CD8" w14:textId="77777777" w:rsidR="00AC1FC5" w:rsidRDefault="00AC1FC5" w:rsidP="004A2385">
      <w:pPr>
        <w:pStyle w:val="NormalWeb"/>
        <w:spacing w:before="0" w:beforeAutospacing="0" w:after="0" w:afterAutospacing="0" w:line="480" w:lineRule="auto"/>
        <w:ind w:firstLine="720"/>
        <w:rPr>
          <w:color w:val="0E101A"/>
        </w:rPr>
      </w:pPr>
      <w:r>
        <w:rPr>
          <w:color w:val="0E101A"/>
        </w:rPr>
        <w:t>The article discusses global health challenges affecting Low and Middle-Income Countries (LMICs). As elaborated in the report, LMICs have more than 75 percent of global health challenges. The challenges include; lack of enough resources to cater</w:t>
      </w:r>
      <w:r>
        <w:rPr>
          <w:rStyle w:val="Strong"/>
          <w:color w:val="0E101A"/>
        </w:rPr>
        <w:t> </w:t>
      </w:r>
      <w:r>
        <w:rPr>
          <w:color w:val="0E101A"/>
        </w:rPr>
        <w:t>to the medical costs and improvement of the healthcare system. In countries like Ethiopia, Uganda, India, Nepal, and South Africa, the article indicates that mental healthcare is considered inadequate as it fails to meet three significant basic needs. As stated, these needs include; enough training to the employees who assist professional health workers, availability of enough workers to deal with cases of mental issues and having the existence of supportive supervision in both the community and primary level. Besides, the article indicates that problems related to mental health account for ten percent of global health costs. That being said, mental health is a common challenge, and lots of consideration needs to be employed as well as resources to deal with the pandemic.</w:t>
      </w:r>
    </w:p>
    <w:p w14:paraId="22C167EF" w14:textId="77777777" w:rsidR="00AC1FC5" w:rsidRDefault="00AC1FC5" w:rsidP="004A2385">
      <w:pPr>
        <w:pStyle w:val="NormalWeb"/>
        <w:spacing w:before="0" w:beforeAutospacing="0" w:after="0" w:afterAutospacing="0" w:line="480" w:lineRule="auto"/>
        <w:rPr>
          <w:color w:val="0E101A"/>
        </w:rPr>
      </w:pPr>
      <w:r>
        <w:rPr>
          <w:color w:val="0E101A"/>
        </w:rPr>
        <w:t xml:space="preserve">           The article has been written with an explicit purpose to specify the group of stakeholders influenced by mental health challenges. They include; employees, mental health patients, and their relatives and mental hospital shareholders. Moreover, it creates an argument that, besides </w:t>
      </w:r>
      <w:r>
        <w:rPr>
          <w:color w:val="0E101A"/>
        </w:rPr>
        <w:lastRenderedPageBreak/>
        <w:t>individuals’ expectations, the stakeholders expect a lot from each other for effective mitigation of the problem. What is more, the article illustrates; for the whole system to work effectively in helping the mental health patients, different expectations that are set need to be met. As indicated, statistics show that in the current society, there is over 1.18 million mental health professional needed. Therefore, a conclusion is drawn by the paper that, problem mitigation is involved since the approach is made through fewer employees.</w:t>
      </w:r>
    </w:p>
    <w:p w14:paraId="70BD1343" w14:textId="77777777" w:rsidR="00AC1FC5" w:rsidRDefault="00AC1FC5" w:rsidP="004A2385">
      <w:pPr>
        <w:pStyle w:val="NormalWeb"/>
        <w:spacing w:before="0" w:beforeAutospacing="0" w:after="0" w:afterAutospacing="0" w:line="480" w:lineRule="auto"/>
        <w:rPr>
          <w:color w:val="0E101A"/>
        </w:rPr>
      </w:pPr>
      <w:r>
        <w:rPr>
          <w:color w:val="0E101A"/>
        </w:rPr>
        <w:t>The article does not entirely point out the solution to the problem of mental health workers being overworked. This is not the expectation of the employees in question; hence there is a need to raise their numbers in efforts to relieve the current employees’ huge workload burden. Additionally, according to the article, working with few numbers of employees in health, the goal is not likely to be achieved. </w:t>
      </w:r>
    </w:p>
    <w:p w14:paraId="2098F092" w14:textId="77777777" w:rsidR="00AC1FC5" w:rsidRDefault="00AC1FC5" w:rsidP="004A2385">
      <w:pPr>
        <w:pStyle w:val="NormalWeb"/>
        <w:spacing w:before="0" w:beforeAutospacing="0" w:after="0" w:afterAutospacing="0" w:line="480" w:lineRule="auto"/>
        <w:ind w:firstLine="720"/>
        <w:rPr>
          <w:color w:val="0E101A"/>
        </w:rPr>
      </w:pPr>
      <w:r>
        <w:rPr>
          <w:color w:val="0E101A"/>
        </w:rPr>
        <w:t>The article really puts more emphasis on the point that employees are being overworked due to a low number of employees. In addition, according to the article, mental health employees live in countries with surplus labor but low manpower. The paper also adds that when job demand is high in a population, competition rises, resulting in low payment than the expected. This nature of life explains the existence of brain drain on developing countries. As the article puts it, professionals will prefer to work in high-income countries where there is high compensation and less work to be done. Therefore, it has deduced that the only benefit available to professionals is that they are few in LMICs, making demand and payments high, but more tasks for them.</w:t>
      </w:r>
    </w:p>
    <w:p w14:paraId="2651D500" w14:textId="77777777" w:rsidR="00AC1FC5" w:rsidRDefault="00AC1FC5" w:rsidP="004A2385">
      <w:pPr>
        <w:pStyle w:val="NormalWeb"/>
        <w:spacing w:before="0" w:beforeAutospacing="0" w:after="0" w:afterAutospacing="0" w:line="480" w:lineRule="auto"/>
        <w:rPr>
          <w:color w:val="0E101A"/>
        </w:rPr>
      </w:pPr>
      <w:r>
        <w:rPr>
          <w:color w:val="0E101A"/>
        </w:rPr>
        <w:t xml:space="preserve">           The paper too speculated on the response of workers where professional employees demand more payments for the health services they offer. As outlined from the article, Cases of employees’ strikes are common in LMICs, and in some instances, it lasts for months. However, </w:t>
      </w:r>
      <w:r>
        <w:rPr>
          <w:color w:val="0E101A"/>
        </w:rPr>
        <w:lastRenderedPageBreak/>
        <w:t>the article points out that these employees are interested in better working conditions and increased payments. Such employees’ interest affects the mental health process, making the patients have a gap in treatment services, which prolongs healing time. What is more, the article has provided a solution. It suggests that it is important to ensure that this group of people gets the necessary resources and their interests always considered. Moreover, the provision of an effective approach in providing solutions related to employment terms is also necessary.  </w:t>
      </w:r>
    </w:p>
    <w:p w14:paraId="2C65312D" w14:textId="77777777" w:rsidR="00AC1FC5" w:rsidRDefault="00AC1FC5" w:rsidP="004A2385">
      <w:pPr>
        <w:pStyle w:val="NormalWeb"/>
        <w:spacing w:before="0" w:beforeAutospacing="0" w:after="0" w:afterAutospacing="0" w:line="480" w:lineRule="auto"/>
        <w:ind w:firstLine="720"/>
        <w:rPr>
          <w:color w:val="0E101A"/>
        </w:rPr>
      </w:pPr>
      <w:r>
        <w:rPr>
          <w:color w:val="0E101A"/>
        </w:rPr>
        <w:t>Madenhell et al. (2014) address various challenges that are faced by mental health institutions in LMICs. The article also recommends ways to ensure that these services are provided. Therefore, it could be used by health policymakers to establish policies that address the challenges. For example, the system notes that one of the challenges that the community faces toward accessing mental health services is transport. In this case, policymakers could develop policies that make the service available to everyone. For example, establish mental health facilities in remote areas.</w:t>
      </w:r>
    </w:p>
    <w:p w14:paraId="411C4C76" w14:textId="77777777" w:rsidR="00AC1FC5" w:rsidRDefault="00AC1FC5" w:rsidP="004A2385">
      <w:pPr>
        <w:pStyle w:val="NormalWeb"/>
        <w:spacing w:before="0" w:beforeAutospacing="0" w:after="0" w:afterAutospacing="0" w:line="480" w:lineRule="auto"/>
        <w:rPr>
          <w:color w:val="0E101A"/>
        </w:rPr>
      </w:pPr>
      <w:r>
        <w:rPr>
          <w:color w:val="0E101A"/>
        </w:rPr>
        <w:t>           </w:t>
      </w:r>
    </w:p>
    <w:p w14:paraId="2BDD5493" w14:textId="347EC1BC" w:rsidR="003F22A0" w:rsidRPr="005C3757" w:rsidRDefault="001C40D3" w:rsidP="004A2385">
      <w:pPr>
        <w:spacing w:line="480" w:lineRule="auto"/>
        <w:ind w:left="720" w:hanging="720"/>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Article: </w:t>
      </w:r>
      <w:r w:rsidR="003F22A0" w:rsidRPr="005C3757">
        <w:rPr>
          <w:rFonts w:ascii="Times New Roman" w:hAnsi="Times New Roman" w:cs="Times New Roman"/>
          <w:b/>
          <w:bCs/>
          <w:color w:val="000000" w:themeColor="text1"/>
          <w:sz w:val="24"/>
          <w:szCs w:val="24"/>
          <w:shd w:val="clear" w:color="auto" w:fill="FFFFFF"/>
        </w:rPr>
        <w:t>Hussain, S. S., Murad, M., Gul, R. B., &amp; Asad, N. (2018). Integration of mental health into primary healthcare: perceptions of stakeholders in Pakistan. </w:t>
      </w:r>
      <w:r w:rsidR="003F22A0" w:rsidRPr="005C3757">
        <w:rPr>
          <w:rFonts w:ascii="Times New Roman" w:hAnsi="Times New Roman" w:cs="Times New Roman"/>
          <w:b/>
          <w:bCs/>
          <w:i/>
          <w:iCs/>
          <w:color w:val="000000" w:themeColor="text1"/>
          <w:sz w:val="24"/>
          <w:szCs w:val="24"/>
          <w:shd w:val="clear" w:color="auto" w:fill="FFFFFF"/>
        </w:rPr>
        <w:t>Eastern Mediterranean Health Journal</w:t>
      </w:r>
      <w:r w:rsidR="003F22A0" w:rsidRPr="005C3757">
        <w:rPr>
          <w:rFonts w:ascii="Times New Roman" w:hAnsi="Times New Roman" w:cs="Times New Roman"/>
          <w:b/>
          <w:bCs/>
          <w:color w:val="000000" w:themeColor="text1"/>
          <w:sz w:val="24"/>
          <w:szCs w:val="24"/>
          <w:shd w:val="clear" w:color="auto" w:fill="FFFFFF"/>
        </w:rPr>
        <w:t>, </w:t>
      </w:r>
      <w:r w:rsidR="003F22A0" w:rsidRPr="005C3757">
        <w:rPr>
          <w:rFonts w:ascii="Times New Roman" w:hAnsi="Times New Roman" w:cs="Times New Roman"/>
          <w:b/>
          <w:bCs/>
          <w:i/>
          <w:iCs/>
          <w:color w:val="000000" w:themeColor="text1"/>
          <w:sz w:val="24"/>
          <w:szCs w:val="24"/>
          <w:shd w:val="clear" w:color="auto" w:fill="FFFFFF"/>
        </w:rPr>
        <w:t>24</w:t>
      </w:r>
      <w:r w:rsidR="003F22A0" w:rsidRPr="005C3757">
        <w:rPr>
          <w:rFonts w:ascii="Times New Roman" w:hAnsi="Times New Roman" w:cs="Times New Roman"/>
          <w:b/>
          <w:bCs/>
          <w:color w:val="000000" w:themeColor="text1"/>
          <w:sz w:val="24"/>
          <w:szCs w:val="24"/>
          <w:shd w:val="clear" w:color="auto" w:fill="FFFFFF"/>
        </w:rPr>
        <w:t>(2), 146.</w:t>
      </w:r>
    </w:p>
    <w:p w14:paraId="59CED0A0" w14:textId="77777777" w:rsidR="00AC1FC5" w:rsidRDefault="00AC1FC5" w:rsidP="004A2385">
      <w:pPr>
        <w:pStyle w:val="NormalWeb"/>
        <w:spacing w:before="0" w:beforeAutospacing="0" w:after="0" w:afterAutospacing="0" w:line="480" w:lineRule="auto"/>
        <w:rPr>
          <w:color w:val="0E101A"/>
        </w:rPr>
      </w:pPr>
    </w:p>
    <w:p w14:paraId="6E2665AF" w14:textId="77777777" w:rsidR="00AC1FC5" w:rsidRDefault="00AC1FC5" w:rsidP="004A2385">
      <w:pPr>
        <w:pStyle w:val="NormalWeb"/>
        <w:spacing w:before="0" w:beforeAutospacing="0" w:after="0" w:afterAutospacing="0" w:line="480" w:lineRule="auto"/>
        <w:ind w:firstLine="720"/>
        <w:rPr>
          <w:color w:val="0E101A"/>
        </w:rPr>
      </w:pPr>
      <w:r>
        <w:rPr>
          <w:color w:val="0E101A"/>
        </w:rPr>
        <w:t xml:space="preserve">This paper focuses on the need to establish integrated mental health systems with other health facilities. Moreover, it recognizes that there are high cases of mental disorders that need to be addressed. In society, we often come across people with different mental problems. Therefore, the article suggests that people need to consider and show mercy to them despite their relationship. The articles do a good job of elaborating on how to cater to these people. It argues </w:t>
      </w:r>
      <w:r>
        <w:rPr>
          <w:color w:val="0E101A"/>
        </w:rPr>
        <w:lastRenderedPageBreak/>
        <w:t>that the current system does not offer enough services, and there is a need for a better approach when dealing with the problem. </w:t>
      </w:r>
    </w:p>
    <w:p w14:paraId="5217E96D" w14:textId="77777777" w:rsidR="00AC1FC5" w:rsidRDefault="00AC1FC5" w:rsidP="004A2385">
      <w:pPr>
        <w:pStyle w:val="NormalWeb"/>
        <w:spacing w:before="0" w:beforeAutospacing="0" w:after="0" w:afterAutospacing="0" w:line="480" w:lineRule="auto"/>
        <w:rPr>
          <w:color w:val="0E101A"/>
        </w:rPr>
      </w:pPr>
      <w:r>
        <w:rPr>
          <w:color w:val="0E101A"/>
        </w:rPr>
        <w:t>           According to the article, employees in normal health facilities and mental health facilities are the key stakeholders. The paper argues that the main expectation from these stakeholders is surplus resources from the government and international organizations such as the WHO. The article further elaborates that without enough resources, then the expected change will not work. For example, without building mental health facilities, this will lead to the skirmishing of mental health patients when getting health services. According to the paper, this</w:t>
      </w:r>
      <w:r>
        <w:rPr>
          <w:color w:val="0E101A"/>
          <w:u w:val="single"/>
        </w:rPr>
        <w:t> </w:t>
      </w:r>
      <w:r>
        <w:rPr>
          <w:color w:val="0E101A"/>
        </w:rPr>
        <w:t>will lead to high overcrowding in hospitals bringing about a challenge on the process of mental health services; hence, stakeholders get overworked, therefore diminishing the quality of services they provide. </w:t>
      </w:r>
    </w:p>
    <w:p w14:paraId="7A62E85D" w14:textId="77777777" w:rsidR="00AC1FC5" w:rsidRPr="004A2385" w:rsidRDefault="00AC1FC5" w:rsidP="004A2385">
      <w:pPr>
        <w:pStyle w:val="NormalWeb"/>
        <w:spacing w:before="0" w:beforeAutospacing="0" w:after="0" w:afterAutospacing="0" w:line="480" w:lineRule="auto"/>
        <w:rPr>
          <w:b/>
          <w:color w:val="0E101A"/>
        </w:rPr>
      </w:pPr>
      <w:r>
        <w:rPr>
          <w:color w:val="0E101A"/>
        </w:rPr>
        <w:t>           The paper indicates that the expected beneficiaries will be the mental health patients and the community at large. Moreover, it suggests that the mental health patients will benefit from the close availability of services which will monitor their advancement towards recovery. Mental health patients will benefit from this in such a way that they will not have to spend a lot of transport or time when they wish to access the health facilities, additionally, according to the paper, the community benefits. For instance, the introduction of new mental health facilities, more workers will be needed to increase the number of employees resulting in more people getting employed. Through this, the paper concludes that the government will have achieved in the provision of healthcare and the creation of job opportunities in the healthcare sector. Moreover, it points out that the necessary people will access the required healthcare services; thus, there is a need to ensure the resources needed are made available to ensure that no problem emerges </w:t>
      </w:r>
      <w:r>
        <w:rPr>
          <w:rStyle w:val="Strong"/>
          <w:color w:val="0E101A"/>
        </w:rPr>
        <w:t>during service provision.</w:t>
      </w:r>
      <w:r>
        <w:rPr>
          <w:color w:val="0E101A"/>
        </w:rPr>
        <w:t xml:space="preserve"> On the other hand, this suggests that without health employers, a country may not be habitable. It explains further that they are the key stakeholders. </w:t>
      </w:r>
      <w:r>
        <w:rPr>
          <w:color w:val="0E101A"/>
        </w:rPr>
        <w:lastRenderedPageBreak/>
        <w:t>Therefore, according to the paper, they ought to make sure that all medics in their country are placed in a desirable condition in respect to their desired profession. Employees in the healthcare sector are the main stakeholders in this case, and their </w:t>
      </w:r>
      <w:r w:rsidRPr="004A2385">
        <w:rPr>
          <w:rStyle w:val="Strong"/>
          <w:b w:val="0"/>
          <w:color w:val="0E101A"/>
        </w:rPr>
        <w:t>take should always be put into consideration when it comes to the integration of health services. For example, stakeholders expect more workers and more facilities to be established to accommodate the expected population of mental health patients. Therefore, incase these demands are not met, then they will not be satisfied and may not provide adequate services. The article thus concludes that this can highly affect patients who are struggling to get mental health services. As the article ends, it elaborates that the government expects mental health services to be provided through the most economical means, and it should always ensure patients receive high-quality services. </w:t>
      </w:r>
    </w:p>
    <w:p w14:paraId="3F793BF6" w14:textId="77777777" w:rsidR="00AC1FC5" w:rsidRPr="004A2385" w:rsidRDefault="00AC1FC5" w:rsidP="004A2385">
      <w:pPr>
        <w:pStyle w:val="NormalWeb"/>
        <w:spacing w:before="0" w:beforeAutospacing="0" w:after="0" w:afterAutospacing="0" w:line="480" w:lineRule="auto"/>
        <w:rPr>
          <w:b/>
          <w:color w:val="0E101A"/>
        </w:rPr>
      </w:pPr>
      <w:r w:rsidRPr="004A2385">
        <w:rPr>
          <w:rStyle w:val="Strong"/>
          <w:b w:val="0"/>
          <w:color w:val="0E101A"/>
        </w:rPr>
        <w:t>           The research article could be effective in addressing the policy of integrating mental health facilities with normal health facilities. In addition, the study has established key significant necessities in the integration of health services, which include political commitment, adequate human and finance resources, and strong advocacy. Therefore, it can be used to determine how these factors are necessary for integration. However, questions that are not addressed yet about the integration process include the estimated number of workers and the expected cost needed on the integration process. Moreover, it has not established how the approach will help the patient or made any comment on whether integration is necessary. Finally, the article does not consider the com</w:t>
      </w:r>
      <w:bookmarkStart w:id="0" w:name="_GoBack"/>
      <w:bookmarkEnd w:id="0"/>
      <w:r w:rsidRPr="004A2385">
        <w:rPr>
          <w:rStyle w:val="Strong"/>
          <w:b w:val="0"/>
          <w:color w:val="0E101A"/>
        </w:rPr>
        <w:t>munity as key stakeholders and the need to put their opinion into account. </w:t>
      </w:r>
    </w:p>
    <w:p w14:paraId="4C058A19" w14:textId="626BF2F6" w:rsidR="00B65FA9" w:rsidRPr="002527C4" w:rsidRDefault="00D76D82" w:rsidP="004A2385">
      <w:pPr>
        <w:spacing w:line="480" w:lineRule="auto"/>
        <w:ind w:left="720" w:hanging="720"/>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Article:</w:t>
      </w:r>
      <w:r w:rsidRPr="002527C4">
        <w:rPr>
          <w:rFonts w:ascii="Times New Roman" w:hAnsi="Times New Roman" w:cs="Times New Roman"/>
          <w:b/>
          <w:bCs/>
          <w:color w:val="000000" w:themeColor="text1"/>
          <w:sz w:val="24"/>
          <w:szCs w:val="24"/>
          <w:shd w:val="clear" w:color="auto" w:fill="FFFFFF"/>
        </w:rPr>
        <w:t xml:space="preserve"> Griffiths</w:t>
      </w:r>
      <w:r w:rsidR="00B65FA9" w:rsidRPr="002527C4">
        <w:rPr>
          <w:rFonts w:ascii="Times New Roman" w:hAnsi="Times New Roman" w:cs="Times New Roman"/>
          <w:b/>
          <w:bCs/>
          <w:color w:val="000000" w:themeColor="text1"/>
          <w:sz w:val="24"/>
          <w:szCs w:val="24"/>
          <w:shd w:val="clear" w:color="auto" w:fill="FFFFFF"/>
        </w:rPr>
        <w:t>, K. M., Jorm, A. F., Christensen, H., Medway, J., &amp; Dear, K. B. (2002).</w:t>
      </w:r>
      <w:r w:rsidR="007F472C" w:rsidRPr="002527C4">
        <w:rPr>
          <w:rFonts w:ascii="Times New Roman" w:hAnsi="Times New Roman" w:cs="Times New Roman"/>
          <w:b/>
          <w:bCs/>
          <w:color w:val="000000" w:themeColor="text1"/>
          <w:sz w:val="24"/>
          <w:szCs w:val="24"/>
          <w:shd w:val="clear" w:color="auto" w:fill="FFFFFF"/>
        </w:rPr>
        <w:t>Research priorities</w:t>
      </w:r>
      <w:r w:rsidR="00B65FA9" w:rsidRPr="002527C4">
        <w:rPr>
          <w:rFonts w:ascii="Times New Roman" w:hAnsi="Times New Roman" w:cs="Times New Roman"/>
          <w:b/>
          <w:bCs/>
          <w:color w:val="000000" w:themeColor="text1"/>
          <w:sz w:val="24"/>
          <w:szCs w:val="24"/>
          <w:shd w:val="clear" w:color="auto" w:fill="FFFFFF"/>
        </w:rPr>
        <w:t xml:space="preserve"> in mental health, Part 2: an evaluation of the current </w:t>
      </w:r>
      <w:r w:rsidR="00B65FA9" w:rsidRPr="002527C4">
        <w:rPr>
          <w:rFonts w:ascii="Times New Roman" w:hAnsi="Times New Roman" w:cs="Times New Roman"/>
          <w:b/>
          <w:bCs/>
          <w:color w:val="000000" w:themeColor="text1"/>
          <w:sz w:val="24"/>
          <w:szCs w:val="24"/>
          <w:shd w:val="clear" w:color="auto" w:fill="FFFFFF"/>
        </w:rPr>
        <w:lastRenderedPageBreak/>
        <w:t>research effort against</w:t>
      </w:r>
      <w:r w:rsidR="007F472C">
        <w:rPr>
          <w:rFonts w:ascii="Times New Roman" w:hAnsi="Times New Roman" w:cs="Times New Roman"/>
          <w:b/>
          <w:bCs/>
          <w:color w:val="000000" w:themeColor="text1"/>
          <w:sz w:val="24"/>
          <w:szCs w:val="24"/>
          <w:shd w:val="clear" w:color="auto" w:fill="FFFFFF"/>
        </w:rPr>
        <w:t xml:space="preserve"> </w:t>
      </w:r>
      <w:r w:rsidR="00B65FA9" w:rsidRPr="002527C4">
        <w:rPr>
          <w:rFonts w:ascii="Times New Roman" w:hAnsi="Times New Roman" w:cs="Times New Roman"/>
          <w:b/>
          <w:bCs/>
          <w:color w:val="000000" w:themeColor="text1"/>
          <w:sz w:val="24"/>
          <w:szCs w:val="24"/>
          <w:shd w:val="clear" w:color="auto" w:fill="FFFFFF"/>
        </w:rPr>
        <w:t>stakeholders' priorities. </w:t>
      </w:r>
      <w:r w:rsidR="00B65FA9" w:rsidRPr="002527C4">
        <w:rPr>
          <w:rFonts w:ascii="Times New Roman" w:hAnsi="Times New Roman" w:cs="Times New Roman"/>
          <w:b/>
          <w:bCs/>
          <w:i/>
          <w:iCs/>
          <w:color w:val="000000" w:themeColor="text1"/>
          <w:sz w:val="24"/>
          <w:szCs w:val="24"/>
          <w:shd w:val="clear" w:color="auto" w:fill="FFFFFF"/>
        </w:rPr>
        <w:t>Australian and New Zealand Journal of Psychiatry</w:t>
      </w:r>
      <w:r w:rsidR="00B65FA9" w:rsidRPr="002527C4">
        <w:rPr>
          <w:rFonts w:ascii="Times New Roman" w:hAnsi="Times New Roman" w:cs="Times New Roman"/>
          <w:b/>
          <w:bCs/>
          <w:color w:val="000000" w:themeColor="text1"/>
          <w:sz w:val="24"/>
          <w:szCs w:val="24"/>
          <w:shd w:val="clear" w:color="auto" w:fill="FFFFFF"/>
        </w:rPr>
        <w:t>, </w:t>
      </w:r>
      <w:r w:rsidR="00B65FA9" w:rsidRPr="002527C4">
        <w:rPr>
          <w:rFonts w:ascii="Times New Roman" w:hAnsi="Times New Roman" w:cs="Times New Roman"/>
          <w:b/>
          <w:bCs/>
          <w:i/>
          <w:iCs/>
          <w:color w:val="000000" w:themeColor="text1"/>
          <w:sz w:val="24"/>
          <w:szCs w:val="24"/>
          <w:shd w:val="clear" w:color="auto" w:fill="FFFFFF"/>
        </w:rPr>
        <w:t>36</w:t>
      </w:r>
      <w:r w:rsidR="00B65FA9" w:rsidRPr="002527C4">
        <w:rPr>
          <w:rFonts w:ascii="Times New Roman" w:hAnsi="Times New Roman" w:cs="Times New Roman"/>
          <w:b/>
          <w:bCs/>
          <w:color w:val="000000" w:themeColor="text1"/>
          <w:sz w:val="24"/>
          <w:szCs w:val="24"/>
          <w:shd w:val="clear" w:color="auto" w:fill="FFFFFF"/>
        </w:rPr>
        <w:t>(3), 327-339.</w:t>
      </w:r>
    </w:p>
    <w:p w14:paraId="4AC0E545" w14:textId="77777777" w:rsidR="00B65FA9" w:rsidRPr="007A2A2E" w:rsidRDefault="00B65FA9" w:rsidP="004A2385">
      <w:pPr>
        <w:spacing w:line="480" w:lineRule="auto"/>
        <w:rPr>
          <w:rFonts w:ascii="Times New Roman" w:hAnsi="Times New Roman" w:cs="Times New Roman"/>
          <w:color w:val="000000" w:themeColor="text1"/>
          <w:sz w:val="24"/>
          <w:szCs w:val="24"/>
          <w:shd w:val="clear" w:color="auto" w:fill="FFFFFF"/>
        </w:rPr>
      </w:pPr>
    </w:p>
    <w:p w14:paraId="3ED98BB9" w14:textId="77777777" w:rsidR="00AC1FC5" w:rsidRPr="00AC1FC5" w:rsidRDefault="00AC1FC5" w:rsidP="004A2385">
      <w:pPr>
        <w:spacing w:line="480" w:lineRule="auto"/>
        <w:rPr>
          <w:rFonts w:ascii="Times New Roman" w:hAnsi="Times New Roman" w:cs="Times New Roman"/>
          <w:color w:val="000000" w:themeColor="text1"/>
          <w:sz w:val="24"/>
          <w:szCs w:val="24"/>
        </w:rPr>
      </w:pPr>
      <w:r w:rsidRPr="00AC1FC5">
        <w:rPr>
          <w:rFonts w:ascii="Times New Roman" w:hAnsi="Times New Roman" w:cs="Times New Roman"/>
          <w:color w:val="000000" w:themeColor="text1"/>
          <w:sz w:val="24"/>
          <w:szCs w:val="24"/>
        </w:rPr>
        <w:t xml:space="preserve">In this article, the focus is on the factor of priority when dealing with the provision of mental health services. The research recognizes that in some instances, the issues of mental health and physical problems such as the general body weakness, are not available. Moreover, the article points out that professionals have to apply alternative ways of determining how much attention a certain patient requires. Therefore, concluding that there is a need to look at these factors and determine the one that key stakeholders should consider necessary.  </w:t>
      </w:r>
    </w:p>
    <w:p w14:paraId="3AD20336" w14:textId="77777777" w:rsidR="00AC1FC5" w:rsidRPr="00AC1FC5" w:rsidRDefault="00AC1FC5" w:rsidP="004A2385">
      <w:pPr>
        <w:spacing w:line="480" w:lineRule="auto"/>
        <w:rPr>
          <w:rFonts w:ascii="Times New Roman" w:hAnsi="Times New Roman" w:cs="Times New Roman"/>
          <w:color w:val="000000" w:themeColor="text1"/>
          <w:sz w:val="24"/>
          <w:szCs w:val="24"/>
        </w:rPr>
      </w:pPr>
      <w:r w:rsidRPr="00AC1FC5">
        <w:rPr>
          <w:rFonts w:ascii="Times New Roman" w:hAnsi="Times New Roman" w:cs="Times New Roman"/>
          <w:color w:val="000000" w:themeColor="text1"/>
          <w:sz w:val="24"/>
          <w:szCs w:val="24"/>
        </w:rPr>
        <w:t xml:space="preserve">           According to the paper, every stakeholder expects the professionals to have the capability to handle all mental problems. It points out their obligations as the provision of both medication and psychological support to the patients. The paper also highlights that they are expected to have critical thinking and be ethical while dealing with a dilemma situation. This includes a situation when many people demand health services. Moreover, it says that the professionals are also expected to ensure that they have enough resources to use when dealing with their mental health patients </w:t>
      </w:r>
    </w:p>
    <w:p w14:paraId="25D201A4" w14:textId="77777777" w:rsidR="00AC1FC5" w:rsidRPr="00AC1FC5" w:rsidRDefault="00AC1FC5" w:rsidP="004A2385">
      <w:pPr>
        <w:spacing w:line="480" w:lineRule="auto"/>
        <w:rPr>
          <w:rFonts w:ascii="Times New Roman" w:hAnsi="Times New Roman" w:cs="Times New Roman"/>
          <w:color w:val="000000" w:themeColor="text1"/>
          <w:sz w:val="24"/>
          <w:szCs w:val="24"/>
        </w:rPr>
      </w:pPr>
      <w:r w:rsidRPr="00AC1FC5">
        <w:rPr>
          <w:rFonts w:ascii="Times New Roman" w:hAnsi="Times New Roman" w:cs="Times New Roman"/>
          <w:color w:val="000000" w:themeColor="text1"/>
          <w:sz w:val="24"/>
          <w:szCs w:val="24"/>
        </w:rPr>
        <w:t xml:space="preserve">           The paper lists the major beneficiaries under this case, which include patients who chance to be treated by the professionals. It discusses the high-quality services patients get at a very affordable price. Also, it says professionals need to determine which patient requires immediate attention. Therefore, according to them, they are supposed to be focused more on mental health patients who will harm themselves or anyone in the community in case the intervention is not done on time. On the other hand, the article poses a major challenge whereby one cannot have a </w:t>
      </w:r>
      <w:r w:rsidRPr="00AC1FC5">
        <w:rPr>
          <w:rFonts w:ascii="Times New Roman" w:hAnsi="Times New Roman" w:cs="Times New Roman"/>
          <w:color w:val="000000" w:themeColor="text1"/>
          <w:sz w:val="24"/>
          <w:szCs w:val="24"/>
        </w:rPr>
        <w:lastRenderedPageBreak/>
        <w:t>conclusive opinion on a patient by just looking at them. Furthermore, it challenges the government by the need to provide quality mental healthcare facilities to its people. The paper outlines the advantages likely to achieve when the government provides quality health services. However, it reminds us that time management and providing quality services is still a challenge, especially to the government and the health care professions, as they are expected to deliver their services at a reduced cost.</w:t>
      </w:r>
    </w:p>
    <w:p w14:paraId="0495ADF3" w14:textId="77777777" w:rsidR="00AC1FC5" w:rsidRPr="00AC1FC5" w:rsidRDefault="00AC1FC5" w:rsidP="004A2385">
      <w:pPr>
        <w:spacing w:line="480" w:lineRule="auto"/>
        <w:rPr>
          <w:rFonts w:ascii="Times New Roman" w:hAnsi="Times New Roman" w:cs="Times New Roman"/>
          <w:color w:val="000000" w:themeColor="text1"/>
          <w:sz w:val="24"/>
          <w:szCs w:val="24"/>
        </w:rPr>
      </w:pPr>
      <w:r w:rsidRPr="00AC1FC5">
        <w:rPr>
          <w:rFonts w:ascii="Times New Roman" w:hAnsi="Times New Roman" w:cs="Times New Roman"/>
          <w:color w:val="000000" w:themeColor="text1"/>
          <w:sz w:val="24"/>
          <w:szCs w:val="24"/>
        </w:rPr>
        <w:t xml:space="preserve">           In conclusion, the paper suggests that both personal interest and social relationships may affect the judgment of a professional health caregiver. It further discusses that personal relationships with the patient usually affect the quality of service they are offered. For instance, according to the article, a professional will be keen while attending a close relative or friend. In contrast, it suggests that the same professional will be less effective to someone they have a negative attitude on. In other cases, the paper points out that having an effective knowledge of patients’ needs may benefit the employees in their decision making. Finally, according to the article, the availability of medical reports and information about the behavior of a patient from close friends and family may ease in decision making.</w:t>
      </w:r>
    </w:p>
    <w:p w14:paraId="3D69808B" w14:textId="7D3EEDAF" w:rsidR="009A07FF" w:rsidRDefault="00AC1FC5" w:rsidP="004A2385">
      <w:pPr>
        <w:spacing w:line="480" w:lineRule="auto"/>
        <w:rPr>
          <w:rFonts w:ascii="Times New Roman" w:hAnsi="Times New Roman" w:cs="Times New Roman"/>
          <w:color w:val="000000" w:themeColor="text1"/>
          <w:sz w:val="24"/>
          <w:szCs w:val="24"/>
        </w:rPr>
      </w:pPr>
      <w:r w:rsidRPr="00AC1FC5">
        <w:rPr>
          <w:rFonts w:ascii="Times New Roman" w:hAnsi="Times New Roman" w:cs="Times New Roman"/>
          <w:color w:val="000000" w:themeColor="text1"/>
          <w:sz w:val="24"/>
          <w:szCs w:val="24"/>
        </w:rPr>
        <w:t xml:space="preserve">           In summary, the article could be used in determining the policy used in the process of providing mental health care and factors that should be considered. The article suggests that the government should ensure that mentally challenged individuals are catered for in society. Also, the article emphasizes the need to have guidelines and policies to make them enjoy and be made to feel like any other person. The paper has highlighted various factors such as affective disorder and primary suicide care, which require higher priority on mental health patients. Moreover, it can be used on policies related to the determination of necessary approaches to mental health provision. However, researchers in the paper do not address the need to decide on the approach </w:t>
      </w:r>
      <w:r w:rsidRPr="00AC1FC5">
        <w:rPr>
          <w:rFonts w:ascii="Times New Roman" w:hAnsi="Times New Roman" w:cs="Times New Roman"/>
          <w:color w:val="000000" w:themeColor="text1"/>
          <w:sz w:val="24"/>
          <w:szCs w:val="24"/>
        </w:rPr>
        <w:lastRenderedPageBreak/>
        <w:t>taken while taking one as an inpatient or outpatient. Therefore, there is a need for further research in this case.</w:t>
      </w:r>
    </w:p>
    <w:p w14:paraId="685B7AC7" w14:textId="77777777" w:rsidR="00253676" w:rsidRPr="007A2A2E" w:rsidRDefault="00253676" w:rsidP="004A2385">
      <w:pPr>
        <w:spacing w:line="480" w:lineRule="auto"/>
        <w:jc w:val="center"/>
        <w:rPr>
          <w:rFonts w:ascii="Times New Roman" w:hAnsi="Times New Roman" w:cs="Times New Roman"/>
          <w:color w:val="000000" w:themeColor="text1"/>
          <w:sz w:val="24"/>
          <w:szCs w:val="24"/>
          <w:shd w:val="clear" w:color="auto" w:fill="FFFFFF"/>
        </w:rPr>
      </w:pPr>
    </w:p>
    <w:p w14:paraId="609203B0" w14:textId="77777777" w:rsidR="00024918" w:rsidRPr="007A2A2E" w:rsidRDefault="00024918" w:rsidP="004A2385">
      <w:pPr>
        <w:spacing w:line="480" w:lineRule="auto"/>
        <w:jc w:val="center"/>
        <w:rPr>
          <w:rFonts w:ascii="Times New Roman" w:hAnsi="Times New Roman" w:cs="Times New Roman"/>
          <w:color w:val="000000" w:themeColor="text1"/>
          <w:sz w:val="24"/>
          <w:szCs w:val="24"/>
        </w:rPr>
      </w:pPr>
    </w:p>
    <w:sectPr w:rsidR="00024918" w:rsidRPr="007A2A2E" w:rsidSect="00D865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2B05E" w14:textId="77777777" w:rsidR="00C73F16" w:rsidRDefault="00C73F16" w:rsidP="00D86540">
      <w:pPr>
        <w:spacing w:after="0" w:line="240" w:lineRule="auto"/>
      </w:pPr>
      <w:r>
        <w:separator/>
      </w:r>
    </w:p>
  </w:endnote>
  <w:endnote w:type="continuationSeparator" w:id="0">
    <w:p w14:paraId="42170819" w14:textId="77777777" w:rsidR="00C73F16" w:rsidRDefault="00C73F16" w:rsidP="00D8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DB875" w14:textId="77777777" w:rsidR="00C73F16" w:rsidRDefault="00C73F16" w:rsidP="00D86540">
      <w:pPr>
        <w:spacing w:after="0" w:line="240" w:lineRule="auto"/>
      </w:pPr>
      <w:r>
        <w:separator/>
      </w:r>
    </w:p>
  </w:footnote>
  <w:footnote w:type="continuationSeparator" w:id="0">
    <w:p w14:paraId="6BA15204" w14:textId="77777777" w:rsidR="00C73F16" w:rsidRDefault="00C73F16" w:rsidP="00D8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496672"/>
      <w:docPartObj>
        <w:docPartGallery w:val="Page Numbers (Top of Page)"/>
        <w:docPartUnique/>
      </w:docPartObj>
    </w:sdtPr>
    <w:sdtEndPr>
      <w:rPr>
        <w:rFonts w:ascii="Times New Roman" w:hAnsi="Times New Roman" w:cs="Times New Roman"/>
        <w:noProof/>
        <w:sz w:val="24"/>
        <w:szCs w:val="24"/>
      </w:rPr>
    </w:sdtEndPr>
    <w:sdtContent>
      <w:p w14:paraId="46A287D4" w14:textId="77777777" w:rsidR="00A27F86" w:rsidRPr="00D86540" w:rsidRDefault="00A27F86" w:rsidP="00D86540">
        <w:pPr>
          <w:pStyle w:val="Header"/>
          <w:spacing w:line="480" w:lineRule="auto"/>
          <w:rPr>
            <w:rFonts w:ascii="Times New Roman" w:hAnsi="Times New Roman" w:cs="Times New Roman"/>
            <w:sz w:val="24"/>
            <w:szCs w:val="24"/>
          </w:rPr>
        </w:pPr>
        <w:r w:rsidRPr="00D86540">
          <w:rPr>
            <w:rFonts w:ascii="Times New Roman" w:hAnsi="Times New Roman" w:cs="Times New Roman"/>
            <w:sz w:val="24"/>
            <w:szCs w:val="24"/>
          </w:rPr>
          <w:t xml:space="preserve">MENTAL HEALTH </w:t>
        </w:r>
        <w:r w:rsidRPr="00D86540">
          <w:rPr>
            <w:rFonts w:ascii="Times New Roman" w:hAnsi="Times New Roman" w:cs="Times New Roman"/>
            <w:sz w:val="24"/>
            <w:szCs w:val="24"/>
          </w:rPr>
          <w:tab/>
        </w:r>
        <w:r w:rsidRPr="00D86540">
          <w:rPr>
            <w:rFonts w:ascii="Times New Roman" w:hAnsi="Times New Roman" w:cs="Times New Roman"/>
            <w:sz w:val="24"/>
            <w:szCs w:val="24"/>
          </w:rPr>
          <w:tab/>
          <w:t xml:space="preserve"> </w:t>
        </w:r>
        <w:r w:rsidRPr="00D86540">
          <w:rPr>
            <w:rFonts w:ascii="Times New Roman" w:hAnsi="Times New Roman" w:cs="Times New Roman"/>
            <w:sz w:val="24"/>
            <w:szCs w:val="24"/>
          </w:rPr>
          <w:fldChar w:fldCharType="begin"/>
        </w:r>
        <w:r w:rsidRPr="00D86540">
          <w:rPr>
            <w:rFonts w:ascii="Times New Roman" w:hAnsi="Times New Roman" w:cs="Times New Roman"/>
            <w:sz w:val="24"/>
            <w:szCs w:val="24"/>
          </w:rPr>
          <w:instrText xml:space="preserve"> PAGE   \* MERGEFORMAT </w:instrText>
        </w:r>
        <w:r w:rsidRPr="00D86540">
          <w:rPr>
            <w:rFonts w:ascii="Times New Roman" w:hAnsi="Times New Roman" w:cs="Times New Roman"/>
            <w:sz w:val="24"/>
            <w:szCs w:val="24"/>
          </w:rPr>
          <w:fldChar w:fldCharType="separate"/>
        </w:r>
        <w:r w:rsidR="00B4726F">
          <w:rPr>
            <w:rFonts w:ascii="Times New Roman" w:hAnsi="Times New Roman" w:cs="Times New Roman"/>
            <w:noProof/>
            <w:sz w:val="24"/>
            <w:szCs w:val="24"/>
          </w:rPr>
          <w:t>9</w:t>
        </w:r>
        <w:r w:rsidRPr="00D86540">
          <w:rPr>
            <w:rFonts w:ascii="Times New Roman" w:hAnsi="Times New Roman" w:cs="Times New Roman"/>
            <w:noProof/>
            <w:sz w:val="24"/>
            <w:szCs w:val="24"/>
          </w:rPr>
          <w:fldChar w:fldCharType="end"/>
        </w:r>
      </w:p>
    </w:sdtContent>
  </w:sdt>
  <w:p w14:paraId="6441BB89" w14:textId="77777777" w:rsidR="00A27F86" w:rsidRDefault="00A27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83705" w14:textId="77777777" w:rsidR="00A27F86" w:rsidRDefault="00A27F86">
    <w:pPr>
      <w:pStyle w:val="Header"/>
    </w:pPr>
    <w:r>
      <w:rPr>
        <w:rFonts w:ascii="Times New Roman" w:hAnsi="Times New Roman" w:cs="Times New Roman"/>
        <w:sz w:val="24"/>
        <w:szCs w:val="24"/>
      </w:rPr>
      <w:t xml:space="preserve">Running head: </w:t>
    </w:r>
    <w:r w:rsidRPr="00D86540">
      <w:rPr>
        <w:rFonts w:ascii="Times New Roman" w:hAnsi="Times New Roman" w:cs="Times New Roman"/>
        <w:sz w:val="24"/>
        <w:szCs w:val="24"/>
      </w:rPr>
      <w:t>MENTAL HEALTH</w:t>
    </w:r>
    <w:r>
      <w:rPr>
        <w:rFonts w:ascii="Times New Roman" w:hAnsi="Times New Roman" w:cs="Times New Roman"/>
        <w:sz w:val="24"/>
        <w:szCs w:val="24"/>
      </w:rPr>
      <w:tab/>
    </w:r>
    <w:r>
      <w:rPr>
        <w:rFonts w:ascii="Times New Roman" w:hAnsi="Times New Roman" w:cs="Times New Roman"/>
        <w:sz w:val="24"/>
        <w:szCs w:val="24"/>
      </w:rPr>
      <w:tab/>
    </w:r>
    <w:r w:rsidRPr="00D86540">
      <w:rPr>
        <w:rFonts w:ascii="Times New Roman" w:hAnsi="Times New Roman" w:cs="Times New Roman"/>
        <w:sz w:val="24"/>
        <w:szCs w:val="24"/>
      </w:rPr>
      <w:t xml:space="preserve"> </w:t>
    </w:r>
    <w:sdt>
      <w:sdtPr>
        <w:id w:val="526918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34C5">
          <w:rPr>
            <w:noProof/>
          </w:rPr>
          <w:t>1</w:t>
        </w:r>
        <w:r>
          <w:rPr>
            <w:noProof/>
          </w:rPr>
          <w:fldChar w:fldCharType="end"/>
        </w:r>
      </w:sdtContent>
    </w:sdt>
  </w:p>
  <w:p w14:paraId="660394BA" w14:textId="77777777" w:rsidR="00A27F86" w:rsidRDefault="00A27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0MTM2NTIwMzS1MDZQ0lEKTi0uzszPAykwqQUAQWZkiCwAAAA="/>
  </w:docVars>
  <w:rsids>
    <w:rsidRoot w:val="00284BE7"/>
    <w:rsid w:val="00004EB6"/>
    <w:rsid w:val="000106DF"/>
    <w:rsid w:val="00013DB8"/>
    <w:rsid w:val="00014E95"/>
    <w:rsid w:val="00017509"/>
    <w:rsid w:val="0002162A"/>
    <w:rsid w:val="00024918"/>
    <w:rsid w:val="00030135"/>
    <w:rsid w:val="00033EA5"/>
    <w:rsid w:val="000440A5"/>
    <w:rsid w:val="00045606"/>
    <w:rsid w:val="00046E02"/>
    <w:rsid w:val="00050712"/>
    <w:rsid w:val="0005199A"/>
    <w:rsid w:val="00054A40"/>
    <w:rsid w:val="0006768F"/>
    <w:rsid w:val="0007086D"/>
    <w:rsid w:val="0008380A"/>
    <w:rsid w:val="0009302E"/>
    <w:rsid w:val="0009737F"/>
    <w:rsid w:val="000A0C6F"/>
    <w:rsid w:val="000A2C03"/>
    <w:rsid w:val="000A3B27"/>
    <w:rsid w:val="000B7FCA"/>
    <w:rsid w:val="000C5FA4"/>
    <w:rsid w:val="000C6BB9"/>
    <w:rsid w:val="000D1B19"/>
    <w:rsid w:val="000D21D5"/>
    <w:rsid w:val="000D69FF"/>
    <w:rsid w:val="000E672D"/>
    <w:rsid w:val="000F0F74"/>
    <w:rsid w:val="00100767"/>
    <w:rsid w:val="00103B01"/>
    <w:rsid w:val="001117B9"/>
    <w:rsid w:val="00115ACB"/>
    <w:rsid w:val="00120279"/>
    <w:rsid w:val="00130826"/>
    <w:rsid w:val="0013545F"/>
    <w:rsid w:val="001417E2"/>
    <w:rsid w:val="0014680D"/>
    <w:rsid w:val="001578A7"/>
    <w:rsid w:val="00161460"/>
    <w:rsid w:val="00163E12"/>
    <w:rsid w:val="00164AB7"/>
    <w:rsid w:val="00173348"/>
    <w:rsid w:val="001736A1"/>
    <w:rsid w:val="001842B7"/>
    <w:rsid w:val="00186BC6"/>
    <w:rsid w:val="001A3E80"/>
    <w:rsid w:val="001B0143"/>
    <w:rsid w:val="001B0924"/>
    <w:rsid w:val="001B1C5A"/>
    <w:rsid w:val="001B4B2C"/>
    <w:rsid w:val="001C40D3"/>
    <w:rsid w:val="001C74C0"/>
    <w:rsid w:val="001D1399"/>
    <w:rsid w:val="001E327B"/>
    <w:rsid w:val="001E5B6B"/>
    <w:rsid w:val="001E5B78"/>
    <w:rsid w:val="0020038A"/>
    <w:rsid w:val="00210360"/>
    <w:rsid w:val="00212370"/>
    <w:rsid w:val="00220C46"/>
    <w:rsid w:val="0022213B"/>
    <w:rsid w:val="00226381"/>
    <w:rsid w:val="00226E19"/>
    <w:rsid w:val="0024114D"/>
    <w:rsid w:val="002414B2"/>
    <w:rsid w:val="00244368"/>
    <w:rsid w:val="00250696"/>
    <w:rsid w:val="002527C4"/>
    <w:rsid w:val="00253676"/>
    <w:rsid w:val="002639E5"/>
    <w:rsid w:val="002650B8"/>
    <w:rsid w:val="00266A0B"/>
    <w:rsid w:val="0027166A"/>
    <w:rsid w:val="00274136"/>
    <w:rsid w:val="00284BE7"/>
    <w:rsid w:val="00287F3B"/>
    <w:rsid w:val="002917A6"/>
    <w:rsid w:val="002A040B"/>
    <w:rsid w:val="002A0A8E"/>
    <w:rsid w:val="002A25E4"/>
    <w:rsid w:val="002A3F78"/>
    <w:rsid w:val="002A4BBA"/>
    <w:rsid w:val="002A5294"/>
    <w:rsid w:val="002A5A08"/>
    <w:rsid w:val="002B180C"/>
    <w:rsid w:val="002B1AA0"/>
    <w:rsid w:val="002B5D1C"/>
    <w:rsid w:val="002D0036"/>
    <w:rsid w:val="002D1815"/>
    <w:rsid w:val="002D297A"/>
    <w:rsid w:val="002D45AD"/>
    <w:rsid w:val="002E19F8"/>
    <w:rsid w:val="002E1D69"/>
    <w:rsid w:val="002F2A7A"/>
    <w:rsid w:val="002F2BA7"/>
    <w:rsid w:val="002F3705"/>
    <w:rsid w:val="003057F2"/>
    <w:rsid w:val="00305810"/>
    <w:rsid w:val="00307E2B"/>
    <w:rsid w:val="003121AF"/>
    <w:rsid w:val="003303B6"/>
    <w:rsid w:val="00333273"/>
    <w:rsid w:val="00336C11"/>
    <w:rsid w:val="00341644"/>
    <w:rsid w:val="00352489"/>
    <w:rsid w:val="00352AB0"/>
    <w:rsid w:val="00352C7F"/>
    <w:rsid w:val="003555C6"/>
    <w:rsid w:val="00377637"/>
    <w:rsid w:val="0037798D"/>
    <w:rsid w:val="00380538"/>
    <w:rsid w:val="003837E3"/>
    <w:rsid w:val="00383C3E"/>
    <w:rsid w:val="00387F67"/>
    <w:rsid w:val="003A0CFA"/>
    <w:rsid w:val="003B22DC"/>
    <w:rsid w:val="003B3D47"/>
    <w:rsid w:val="003C4156"/>
    <w:rsid w:val="003D351B"/>
    <w:rsid w:val="003D786F"/>
    <w:rsid w:val="003E0225"/>
    <w:rsid w:val="003E0A0D"/>
    <w:rsid w:val="003E34C5"/>
    <w:rsid w:val="003E575D"/>
    <w:rsid w:val="003E5A29"/>
    <w:rsid w:val="003F146B"/>
    <w:rsid w:val="003F22A0"/>
    <w:rsid w:val="003F4DAA"/>
    <w:rsid w:val="003F5E8D"/>
    <w:rsid w:val="003F7199"/>
    <w:rsid w:val="00402AE7"/>
    <w:rsid w:val="00411998"/>
    <w:rsid w:val="004140DA"/>
    <w:rsid w:val="0041470F"/>
    <w:rsid w:val="0041637A"/>
    <w:rsid w:val="004178C8"/>
    <w:rsid w:val="00423D1D"/>
    <w:rsid w:val="00426B8E"/>
    <w:rsid w:val="00432CAB"/>
    <w:rsid w:val="00443E5B"/>
    <w:rsid w:val="004529BF"/>
    <w:rsid w:val="00456C2D"/>
    <w:rsid w:val="00460878"/>
    <w:rsid w:val="0046220F"/>
    <w:rsid w:val="00472C37"/>
    <w:rsid w:val="004736FE"/>
    <w:rsid w:val="004738DA"/>
    <w:rsid w:val="00484079"/>
    <w:rsid w:val="00493D1E"/>
    <w:rsid w:val="004A2385"/>
    <w:rsid w:val="004A39A2"/>
    <w:rsid w:val="004A566C"/>
    <w:rsid w:val="004C0957"/>
    <w:rsid w:val="004C21D7"/>
    <w:rsid w:val="004D1318"/>
    <w:rsid w:val="004D2742"/>
    <w:rsid w:val="004D673A"/>
    <w:rsid w:val="004E08D1"/>
    <w:rsid w:val="004E44BB"/>
    <w:rsid w:val="004F1F6C"/>
    <w:rsid w:val="005016C1"/>
    <w:rsid w:val="005131C1"/>
    <w:rsid w:val="005231B2"/>
    <w:rsid w:val="00525411"/>
    <w:rsid w:val="00535E8E"/>
    <w:rsid w:val="00536826"/>
    <w:rsid w:val="00542BD9"/>
    <w:rsid w:val="00555EF5"/>
    <w:rsid w:val="00560A98"/>
    <w:rsid w:val="005610A3"/>
    <w:rsid w:val="005651A5"/>
    <w:rsid w:val="00567D12"/>
    <w:rsid w:val="0057098C"/>
    <w:rsid w:val="00571B00"/>
    <w:rsid w:val="00573E93"/>
    <w:rsid w:val="0058062A"/>
    <w:rsid w:val="005818FC"/>
    <w:rsid w:val="005869D4"/>
    <w:rsid w:val="00593BE8"/>
    <w:rsid w:val="00594842"/>
    <w:rsid w:val="005951D1"/>
    <w:rsid w:val="005A5033"/>
    <w:rsid w:val="005B3637"/>
    <w:rsid w:val="005B5759"/>
    <w:rsid w:val="005B6A11"/>
    <w:rsid w:val="005C2FF5"/>
    <w:rsid w:val="005C3757"/>
    <w:rsid w:val="005D1948"/>
    <w:rsid w:val="005D3E7A"/>
    <w:rsid w:val="005D65A1"/>
    <w:rsid w:val="0061004F"/>
    <w:rsid w:val="00612B92"/>
    <w:rsid w:val="00615F0E"/>
    <w:rsid w:val="006327D3"/>
    <w:rsid w:val="0063284F"/>
    <w:rsid w:val="0064757B"/>
    <w:rsid w:val="00651187"/>
    <w:rsid w:val="00657C9D"/>
    <w:rsid w:val="00662382"/>
    <w:rsid w:val="00677A46"/>
    <w:rsid w:val="006908FA"/>
    <w:rsid w:val="006919C6"/>
    <w:rsid w:val="0069491B"/>
    <w:rsid w:val="00696BCE"/>
    <w:rsid w:val="006A20FA"/>
    <w:rsid w:val="006A29EC"/>
    <w:rsid w:val="006B0D01"/>
    <w:rsid w:val="006B4545"/>
    <w:rsid w:val="006B7A4E"/>
    <w:rsid w:val="006C2ADB"/>
    <w:rsid w:val="006C6F21"/>
    <w:rsid w:val="006C70C3"/>
    <w:rsid w:val="006D456B"/>
    <w:rsid w:val="006D5838"/>
    <w:rsid w:val="006F2F34"/>
    <w:rsid w:val="006F525F"/>
    <w:rsid w:val="007007B1"/>
    <w:rsid w:val="00701240"/>
    <w:rsid w:val="00701B6F"/>
    <w:rsid w:val="007075C1"/>
    <w:rsid w:val="00707B6A"/>
    <w:rsid w:val="007224F1"/>
    <w:rsid w:val="00724B9F"/>
    <w:rsid w:val="00733851"/>
    <w:rsid w:val="00742445"/>
    <w:rsid w:val="00744EEE"/>
    <w:rsid w:val="00764FAF"/>
    <w:rsid w:val="00766B75"/>
    <w:rsid w:val="007708E7"/>
    <w:rsid w:val="00772F9D"/>
    <w:rsid w:val="00780F87"/>
    <w:rsid w:val="00786663"/>
    <w:rsid w:val="00797342"/>
    <w:rsid w:val="00797739"/>
    <w:rsid w:val="007A15A2"/>
    <w:rsid w:val="007A2A2E"/>
    <w:rsid w:val="007B436C"/>
    <w:rsid w:val="007C1F7F"/>
    <w:rsid w:val="007C4F08"/>
    <w:rsid w:val="007E0418"/>
    <w:rsid w:val="007E0F30"/>
    <w:rsid w:val="007E7F54"/>
    <w:rsid w:val="007F1B3A"/>
    <w:rsid w:val="007F472C"/>
    <w:rsid w:val="007F48AA"/>
    <w:rsid w:val="00801CAD"/>
    <w:rsid w:val="00824A44"/>
    <w:rsid w:val="0082786F"/>
    <w:rsid w:val="00831CA1"/>
    <w:rsid w:val="00844B52"/>
    <w:rsid w:val="00844EC5"/>
    <w:rsid w:val="00847504"/>
    <w:rsid w:val="00847A43"/>
    <w:rsid w:val="00860129"/>
    <w:rsid w:val="00863122"/>
    <w:rsid w:val="00897EE9"/>
    <w:rsid w:val="008A5A82"/>
    <w:rsid w:val="008B23E2"/>
    <w:rsid w:val="008C0FAA"/>
    <w:rsid w:val="008C2BC7"/>
    <w:rsid w:val="008D17DE"/>
    <w:rsid w:val="008D5B36"/>
    <w:rsid w:val="008E0069"/>
    <w:rsid w:val="008E2488"/>
    <w:rsid w:val="008E26E6"/>
    <w:rsid w:val="008E7983"/>
    <w:rsid w:val="00900483"/>
    <w:rsid w:val="00901984"/>
    <w:rsid w:val="0090753D"/>
    <w:rsid w:val="00917DD8"/>
    <w:rsid w:val="00920AEF"/>
    <w:rsid w:val="009237AA"/>
    <w:rsid w:val="00940B0C"/>
    <w:rsid w:val="00940CA2"/>
    <w:rsid w:val="00942192"/>
    <w:rsid w:val="00952A4F"/>
    <w:rsid w:val="00954233"/>
    <w:rsid w:val="00963F14"/>
    <w:rsid w:val="009711BF"/>
    <w:rsid w:val="0097660D"/>
    <w:rsid w:val="009828B2"/>
    <w:rsid w:val="00984D3E"/>
    <w:rsid w:val="009945F7"/>
    <w:rsid w:val="009A07FF"/>
    <w:rsid w:val="009A7CDE"/>
    <w:rsid w:val="009B51EE"/>
    <w:rsid w:val="009C4FF8"/>
    <w:rsid w:val="009C5750"/>
    <w:rsid w:val="009D03EC"/>
    <w:rsid w:val="009E6DF4"/>
    <w:rsid w:val="009F6934"/>
    <w:rsid w:val="009F7920"/>
    <w:rsid w:val="00A02389"/>
    <w:rsid w:val="00A05C7C"/>
    <w:rsid w:val="00A11E07"/>
    <w:rsid w:val="00A27F86"/>
    <w:rsid w:val="00A3001D"/>
    <w:rsid w:val="00A36EE3"/>
    <w:rsid w:val="00A41CAC"/>
    <w:rsid w:val="00A57FC0"/>
    <w:rsid w:val="00A6082A"/>
    <w:rsid w:val="00A61ED6"/>
    <w:rsid w:val="00A67522"/>
    <w:rsid w:val="00A72FDB"/>
    <w:rsid w:val="00A844C3"/>
    <w:rsid w:val="00A90E1D"/>
    <w:rsid w:val="00A92483"/>
    <w:rsid w:val="00A93C26"/>
    <w:rsid w:val="00AA0837"/>
    <w:rsid w:val="00AA251F"/>
    <w:rsid w:val="00AA2BC6"/>
    <w:rsid w:val="00AA7EA9"/>
    <w:rsid w:val="00AB7437"/>
    <w:rsid w:val="00AC1FC5"/>
    <w:rsid w:val="00AC4FBC"/>
    <w:rsid w:val="00AC52D1"/>
    <w:rsid w:val="00AD46E9"/>
    <w:rsid w:val="00AE1326"/>
    <w:rsid w:val="00AE1D1B"/>
    <w:rsid w:val="00AE62E0"/>
    <w:rsid w:val="00AF40C0"/>
    <w:rsid w:val="00AF6967"/>
    <w:rsid w:val="00B04D94"/>
    <w:rsid w:val="00B14D21"/>
    <w:rsid w:val="00B247DB"/>
    <w:rsid w:val="00B37A98"/>
    <w:rsid w:val="00B4726F"/>
    <w:rsid w:val="00B578FC"/>
    <w:rsid w:val="00B57D90"/>
    <w:rsid w:val="00B62E41"/>
    <w:rsid w:val="00B64277"/>
    <w:rsid w:val="00B65FA9"/>
    <w:rsid w:val="00B7407B"/>
    <w:rsid w:val="00B77B8A"/>
    <w:rsid w:val="00B967DC"/>
    <w:rsid w:val="00BA4D1F"/>
    <w:rsid w:val="00BA786A"/>
    <w:rsid w:val="00BB21C2"/>
    <w:rsid w:val="00BB4300"/>
    <w:rsid w:val="00BD42C7"/>
    <w:rsid w:val="00BD671D"/>
    <w:rsid w:val="00BE3CDE"/>
    <w:rsid w:val="00BE5575"/>
    <w:rsid w:val="00BE6468"/>
    <w:rsid w:val="00BF175A"/>
    <w:rsid w:val="00BF2604"/>
    <w:rsid w:val="00BF3835"/>
    <w:rsid w:val="00C07931"/>
    <w:rsid w:val="00C1664C"/>
    <w:rsid w:val="00C30F44"/>
    <w:rsid w:val="00C410EA"/>
    <w:rsid w:val="00C43A48"/>
    <w:rsid w:val="00C43F6D"/>
    <w:rsid w:val="00C45ACB"/>
    <w:rsid w:val="00C547CD"/>
    <w:rsid w:val="00C551AB"/>
    <w:rsid w:val="00C55EAA"/>
    <w:rsid w:val="00C56416"/>
    <w:rsid w:val="00C57573"/>
    <w:rsid w:val="00C615A2"/>
    <w:rsid w:val="00C65BA2"/>
    <w:rsid w:val="00C73F16"/>
    <w:rsid w:val="00C813A7"/>
    <w:rsid w:val="00CA6827"/>
    <w:rsid w:val="00CB545A"/>
    <w:rsid w:val="00CB61FB"/>
    <w:rsid w:val="00CC0AEA"/>
    <w:rsid w:val="00CC5701"/>
    <w:rsid w:val="00CD19CF"/>
    <w:rsid w:val="00CD22A5"/>
    <w:rsid w:val="00CD59FD"/>
    <w:rsid w:val="00CD6DD9"/>
    <w:rsid w:val="00CE4306"/>
    <w:rsid w:val="00CE4F08"/>
    <w:rsid w:val="00CF4D97"/>
    <w:rsid w:val="00D06015"/>
    <w:rsid w:val="00D073F2"/>
    <w:rsid w:val="00D1792A"/>
    <w:rsid w:val="00D206B8"/>
    <w:rsid w:val="00D21A29"/>
    <w:rsid w:val="00D24EDE"/>
    <w:rsid w:val="00D366B0"/>
    <w:rsid w:val="00D36BC4"/>
    <w:rsid w:val="00D503B8"/>
    <w:rsid w:val="00D50EB5"/>
    <w:rsid w:val="00D55355"/>
    <w:rsid w:val="00D55410"/>
    <w:rsid w:val="00D57035"/>
    <w:rsid w:val="00D6171B"/>
    <w:rsid w:val="00D67FB5"/>
    <w:rsid w:val="00D71546"/>
    <w:rsid w:val="00D7314A"/>
    <w:rsid w:val="00D76D82"/>
    <w:rsid w:val="00D86540"/>
    <w:rsid w:val="00DA0181"/>
    <w:rsid w:val="00DB5675"/>
    <w:rsid w:val="00DB60EC"/>
    <w:rsid w:val="00DC119A"/>
    <w:rsid w:val="00DC4856"/>
    <w:rsid w:val="00DC5953"/>
    <w:rsid w:val="00DC7C53"/>
    <w:rsid w:val="00DC7DB0"/>
    <w:rsid w:val="00DD212A"/>
    <w:rsid w:val="00DD2C18"/>
    <w:rsid w:val="00DE34A6"/>
    <w:rsid w:val="00DE3A7D"/>
    <w:rsid w:val="00DE6F86"/>
    <w:rsid w:val="00DE75F0"/>
    <w:rsid w:val="00DE7EF1"/>
    <w:rsid w:val="00DF7EB4"/>
    <w:rsid w:val="00E00199"/>
    <w:rsid w:val="00E0138C"/>
    <w:rsid w:val="00E01B01"/>
    <w:rsid w:val="00E01E70"/>
    <w:rsid w:val="00E02292"/>
    <w:rsid w:val="00E30BF5"/>
    <w:rsid w:val="00E33539"/>
    <w:rsid w:val="00E3535F"/>
    <w:rsid w:val="00E41A2C"/>
    <w:rsid w:val="00E44887"/>
    <w:rsid w:val="00E65528"/>
    <w:rsid w:val="00E70951"/>
    <w:rsid w:val="00E70D91"/>
    <w:rsid w:val="00E77D50"/>
    <w:rsid w:val="00EA1374"/>
    <w:rsid w:val="00EA1E5B"/>
    <w:rsid w:val="00EA2E1A"/>
    <w:rsid w:val="00EA4179"/>
    <w:rsid w:val="00EB1C0E"/>
    <w:rsid w:val="00EB7035"/>
    <w:rsid w:val="00EC6BAA"/>
    <w:rsid w:val="00ED2C22"/>
    <w:rsid w:val="00ED587C"/>
    <w:rsid w:val="00EE126A"/>
    <w:rsid w:val="00EF0B79"/>
    <w:rsid w:val="00EF4586"/>
    <w:rsid w:val="00EF6700"/>
    <w:rsid w:val="00EF7544"/>
    <w:rsid w:val="00EF75BC"/>
    <w:rsid w:val="00F03DEF"/>
    <w:rsid w:val="00F04C71"/>
    <w:rsid w:val="00F1255E"/>
    <w:rsid w:val="00F12EAB"/>
    <w:rsid w:val="00F14FC1"/>
    <w:rsid w:val="00F22A43"/>
    <w:rsid w:val="00F23B30"/>
    <w:rsid w:val="00F30E63"/>
    <w:rsid w:val="00F33CD5"/>
    <w:rsid w:val="00F36DD1"/>
    <w:rsid w:val="00F4366A"/>
    <w:rsid w:val="00F474E3"/>
    <w:rsid w:val="00F477E3"/>
    <w:rsid w:val="00F51403"/>
    <w:rsid w:val="00F60556"/>
    <w:rsid w:val="00F6788F"/>
    <w:rsid w:val="00F75A43"/>
    <w:rsid w:val="00F75E74"/>
    <w:rsid w:val="00F8309E"/>
    <w:rsid w:val="00F85495"/>
    <w:rsid w:val="00FA2624"/>
    <w:rsid w:val="00FA382A"/>
    <w:rsid w:val="00FA571A"/>
    <w:rsid w:val="00FA7010"/>
    <w:rsid w:val="00FA7B41"/>
    <w:rsid w:val="00FB0357"/>
    <w:rsid w:val="00FB4F55"/>
    <w:rsid w:val="00FB565C"/>
    <w:rsid w:val="00FC313B"/>
    <w:rsid w:val="00FC5DCE"/>
    <w:rsid w:val="00FD56EB"/>
    <w:rsid w:val="00FE4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B11B3A"/>
  <w15:docId w15:val="{99BEBE95-DC69-694A-82BF-D91BF020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540"/>
  </w:style>
  <w:style w:type="paragraph" w:styleId="Footer">
    <w:name w:val="footer"/>
    <w:basedOn w:val="Normal"/>
    <w:link w:val="FooterChar"/>
    <w:uiPriority w:val="99"/>
    <w:unhideWhenUsed/>
    <w:rsid w:val="00D8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540"/>
  </w:style>
  <w:style w:type="character" w:styleId="CommentReference">
    <w:name w:val="annotation reference"/>
    <w:basedOn w:val="DefaultParagraphFont"/>
    <w:uiPriority w:val="99"/>
    <w:semiHidden/>
    <w:unhideWhenUsed/>
    <w:rsid w:val="005818FC"/>
    <w:rPr>
      <w:sz w:val="16"/>
      <w:szCs w:val="16"/>
    </w:rPr>
  </w:style>
  <w:style w:type="paragraph" w:styleId="CommentText">
    <w:name w:val="annotation text"/>
    <w:basedOn w:val="Normal"/>
    <w:link w:val="CommentTextChar"/>
    <w:uiPriority w:val="99"/>
    <w:semiHidden/>
    <w:unhideWhenUsed/>
    <w:rsid w:val="005818FC"/>
    <w:pPr>
      <w:spacing w:line="240" w:lineRule="auto"/>
    </w:pPr>
    <w:rPr>
      <w:sz w:val="20"/>
      <w:szCs w:val="20"/>
    </w:rPr>
  </w:style>
  <w:style w:type="character" w:customStyle="1" w:styleId="CommentTextChar">
    <w:name w:val="Comment Text Char"/>
    <w:basedOn w:val="DefaultParagraphFont"/>
    <w:link w:val="CommentText"/>
    <w:uiPriority w:val="99"/>
    <w:semiHidden/>
    <w:rsid w:val="005818FC"/>
    <w:rPr>
      <w:sz w:val="20"/>
      <w:szCs w:val="20"/>
    </w:rPr>
  </w:style>
  <w:style w:type="paragraph" w:styleId="CommentSubject">
    <w:name w:val="annotation subject"/>
    <w:basedOn w:val="CommentText"/>
    <w:next w:val="CommentText"/>
    <w:link w:val="CommentSubjectChar"/>
    <w:uiPriority w:val="99"/>
    <w:semiHidden/>
    <w:unhideWhenUsed/>
    <w:rsid w:val="005818FC"/>
    <w:rPr>
      <w:b/>
      <w:bCs/>
    </w:rPr>
  </w:style>
  <w:style w:type="character" w:customStyle="1" w:styleId="CommentSubjectChar">
    <w:name w:val="Comment Subject Char"/>
    <w:basedOn w:val="CommentTextChar"/>
    <w:link w:val="CommentSubject"/>
    <w:uiPriority w:val="99"/>
    <w:semiHidden/>
    <w:rsid w:val="005818FC"/>
    <w:rPr>
      <w:b/>
      <w:bCs/>
      <w:sz w:val="20"/>
      <w:szCs w:val="20"/>
    </w:rPr>
  </w:style>
  <w:style w:type="paragraph" w:styleId="BalloonText">
    <w:name w:val="Balloon Text"/>
    <w:basedOn w:val="Normal"/>
    <w:link w:val="BalloonTextChar"/>
    <w:uiPriority w:val="99"/>
    <w:semiHidden/>
    <w:unhideWhenUsed/>
    <w:rsid w:val="00581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8FC"/>
    <w:rPr>
      <w:rFonts w:ascii="Segoe UI" w:hAnsi="Segoe UI" w:cs="Segoe UI"/>
      <w:sz w:val="18"/>
      <w:szCs w:val="18"/>
    </w:rPr>
  </w:style>
  <w:style w:type="paragraph" w:styleId="NormalWeb">
    <w:name w:val="Normal (Web)"/>
    <w:basedOn w:val="Normal"/>
    <w:uiPriority w:val="99"/>
    <w:semiHidden/>
    <w:unhideWhenUsed/>
    <w:rsid w:val="00AC1F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1F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936030">
      <w:bodyDiv w:val="1"/>
      <w:marLeft w:val="0"/>
      <w:marRight w:val="0"/>
      <w:marTop w:val="0"/>
      <w:marBottom w:val="0"/>
      <w:divBdr>
        <w:top w:val="none" w:sz="0" w:space="0" w:color="auto"/>
        <w:left w:val="none" w:sz="0" w:space="0" w:color="auto"/>
        <w:bottom w:val="none" w:sz="0" w:space="0" w:color="auto"/>
        <w:right w:val="none" w:sz="0" w:space="0" w:color="auto"/>
      </w:divBdr>
    </w:div>
    <w:div w:id="154370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BE725-F103-4F21-8EDF-948FA4D7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Microsoft</cp:lastModifiedBy>
  <cp:revision>2</cp:revision>
  <dcterms:created xsi:type="dcterms:W3CDTF">2020-04-05T11:08:00Z</dcterms:created>
  <dcterms:modified xsi:type="dcterms:W3CDTF">2020-04-05T11:08:00Z</dcterms:modified>
</cp:coreProperties>
</file>